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F45142" w:rsidP="002D2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2D2B5C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2D2B5C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53306A" w:rsidRPr="0053306A">
        <w:rPr>
          <w:b/>
          <w:i/>
          <w:sz w:val="24"/>
          <w:szCs w:val="24"/>
        </w:rPr>
        <w:t xml:space="preserve">Charakterystyka </w:t>
      </w:r>
      <w:r w:rsidR="0053306A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>n</w:t>
      </w:r>
      <w:r w:rsidR="003D6D50">
        <w:rPr>
          <w:rFonts w:eastAsia="ScalaSansPro-Bold" w:cstheme="minorHAnsi"/>
          <w:b/>
          <w:bCs/>
          <w:i/>
          <w:color w:val="000000"/>
          <w:sz w:val="24"/>
          <w:szCs w:val="24"/>
        </w:rPr>
        <w:t>orm</w:t>
      </w:r>
      <w:r w:rsidR="00CA54BD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ISO</w:t>
      </w:r>
      <w:r w:rsidR="0053306A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9000</w:t>
      </w:r>
    </w:p>
    <w:p w:rsidR="00F661DA" w:rsidRPr="00B23F4E" w:rsidRDefault="00F661DA" w:rsidP="002D2B5C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2D2B5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2D2B5C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2D2B5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2D2B5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2D2B5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2D2B5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3D0119" w:rsidRPr="00B23F4E" w:rsidRDefault="003D0119" w:rsidP="0047137C">
      <w:pPr>
        <w:spacing w:after="0" w:line="240" w:lineRule="auto"/>
        <w:ind w:firstLine="708"/>
        <w:jc w:val="both"/>
        <w:rPr>
          <w:b/>
          <w:i/>
          <w:sz w:val="12"/>
          <w:szCs w:val="12"/>
        </w:rPr>
      </w:pPr>
    </w:p>
    <w:p w:rsidR="0067015B" w:rsidRPr="002D2B5C" w:rsidRDefault="00CA54BD" w:rsidP="002D2B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B050"/>
        </w:rPr>
        <w:t xml:space="preserve">      </w:t>
      </w:r>
      <w:r w:rsidR="0067015B" w:rsidRPr="0067015B">
        <w:rPr>
          <w:rFonts w:cstheme="minorHAnsi"/>
          <w:b/>
          <w:color w:val="00B050"/>
        </w:rPr>
        <w:t>Normy</w:t>
      </w:r>
      <w:r w:rsidR="0067015B" w:rsidRPr="0067015B">
        <w:rPr>
          <w:rFonts w:cstheme="minorHAnsi"/>
          <w:color w:val="00B050"/>
          <w:sz w:val="24"/>
          <w:szCs w:val="24"/>
        </w:rPr>
        <w:t> </w:t>
      </w:r>
      <w:r w:rsidR="0067015B" w:rsidRPr="0067015B">
        <w:rPr>
          <w:rFonts w:cstheme="minorHAnsi"/>
          <w:b/>
          <w:bCs/>
          <w:color w:val="00B050"/>
          <w:sz w:val="24"/>
          <w:szCs w:val="24"/>
        </w:rPr>
        <w:t>ISO 9000</w:t>
      </w:r>
      <w:r w:rsidR="0067015B" w:rsidRPr="0067015B">
        <w:rPr>
          <w:rFonts w:cstheme="minorHAnsi"/>
          <w:color w:val="202122"/>
          <w:sz w:val="24"/>
          <w:szCs w:val="24"/>
        </w:rPr>
        <w:t> po raz pierwszy zostały opublikowane w 1987, są powszechnie uznawane za podstawę budowania systemów zarządzania </w:t>
      </w:r>
      <w:r w:rsidR="0067015B" w:rsidRPr="0067015B">
        <w:rPr>
          <w:rFonts w:cstheme="minorHAnsi"/>
          <w:color w:val="202122"/>
        </w:rPr>
        <w:t>jakością</w:t>
      </w:r>
      <w:r w:rsidR="002D2B5C">
        <w:rPr>
          <w:rFonts w:cstheme="minorHAnsi"/>
          <w:color w:val="202122"/>
        </w:rPr>
        <w:t xml:space="preserve"> we wszystkich </w:t>
      </w:r>
      <w:r w:rsidR="0067015B" w:rsidRPr="0067015B">
        <w:rPr>
          <w:rFonts w:cstheme="minorHAnsi"/>
          <w:color w:val="202122"/>
          <w:sz w:val="24"/>
          <w:szCs w:val="24"/>
        </w:rPr>
        <w:t>organizacjach, bez względu na rodzaj ich działalności. Normy te zawierają terminologie, wymagania i wytyczne dotyczące wprowadzania, doskonalenia i kontrolowania </w:t>
      </w:r>
      <w:r w:rsidR="0067015B" w:rsidRPr="0067015B">
        <w:rPr>
          <w:rFonts w:cstheme="minorHAnsi"/>
          <w:color w:val="202122"/>
        </w:rPr>
        <w:t>systemu zarządzania jakością</w:t>
      </w:r>
      <w:r w:rsidR="0067015B" w:rsidRPr="002D2B5C">
        <w:rPr>
          <w:rFonts w:cstheme="minorHAnsi"/>
          <w:color w:val="202122"/>
          <w:sz w:val="24"/>
          <w:szCs w:val="24"/>
        </w:rPr>
        <w:t>.</w:t>
      </w:r>
      <w:r w:rsidR="002D2B5C" w:rsidRPr="002D2B5C">
        <w:rPr>
          <w:rFonts w:cstheme="minorHAnsi"/>
          <w:color w:val="202122"/>
          <w:sz w:val="24"/>
          <w:szCs w:val="24"/>
        </w:rPr>
        <w:t xml:space="preserve"> </w:t>
      </w:r>
      <w:r w:rsidR="002D2B5C" w:rsidRPr="002D2B5C">
        <w:rPr>
          <w:rFonts w:cstheme="minorHAnsi"/>
          <w:sz w:val="24"/>
          <w:szCs w:val="24"/>
        </w:rPr>
        <w:t>Normy ISO serii 9000 należą do zintegrowanego systemu optymalizacji i skuteczności</w:t>
      </w:r>
      <w:r w:rsidR="002D2B5C">
        <w:rPr>
          <w:rFonts w:cstheme="minorHAnsi"/>
          <w:sz w:val="24"/>
          <w:szCs w:val="24"/>
        </w:rPr>
        <w:t xml:space="preserve"> </w:t>
      </w:r>
      <w:r w:rsidR="002D2B5C" w:rsidRPr="002D2B5C">
        <w:rPr>
          <w:rFonts w:cstheme="minorHAnsi"/>
          <w:sz w:val="24"/>
          <w:szCs w:val="24"/>
        </w:rPr>
        <w:t>osiągania jakości przez przedsiębiorstwo. Pozwalają one stworzyć podstawy ciągłego doskonalenia.</w:t>
      </w:r>
      <w:r w:rsidR="0067015B">
        <w:rPr>
          <w:rFonts w:cstheme="minorHAnsi"/>
          <w:color w:val="202122"/>
        </w:rPr>
        <w:t xml:space="preserve"> </w:t>
      </w:r>
      <w:r w:rsidR="0067015B" w:rsidRPr="0067015B">
        <w:rPr>
          <w:rFonts w:cstheme="minorHAnsi"/>
          <w:color w:val="202122"/>
          <w:sz w:val="24"/>
          <w:szCs w:val="24"/>
        </w:rPr>
        <w:t>Rodzina norm </w:t>
      </w:r>
      <w:r w:rsidR="0067015B" w:rsidRPr="0067015B">
        <w:rPr>
          <w:rFonts w:cstheme="minorHAnsi"/>
          <w:color w:val="202122"/>
        </w:rPr>
        <w:t>ISO</w:t>
      </w:r>
      <w:r w:rsidR="0067015B" w:rsidRPr="0067015B">
        <w:rPr>
          <w:rFonts w:cstheme="minorHAnsi"/>
          <w:color w:val="202122"/>
          <w:sz w:val="24"/>
          <w:szCs w:val="24"/>
        </w:rPr>
        <w:t> serii 9000 składa się z 4 norm podstawowych:</w:t>
      </w:r>
    </w:p>
    <w:p w:rsidR="0067015B" w:rsidRPr="0067015B" w:rsidRDefault="00C87754" w:rsidP="002D2B5C">
      <w:pPr>
        <w:pStyle w:val="Akapitzlist"/>
        <w:numPr>
          <w:ilvl w:val="0"/>
          <w:numId w:val="24"/>
        </w:numPr>
        <w:shd w:val="clear" w:color="auto" w:fill="FFFFFF"/>
        <w:spacing w:before="48" w:after="120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6" w:tooltip="ISO 9000:2005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9000:2015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Quality management system – Fundamentals and vocabulary</w:t>
      </w:r>
      <w:r w:rsidR="0067015B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9000:2015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 System </w:t>
      </w:r>
      <w:r w:rsidR="0067015B">
        <w:rPr>
          <w:rFonts w:cstheme="minorHAnsi"/>
          <w:color w:val="202122"/>
          <w:sz w:val="24"/>
          <w:szCs w:val="24"/>
        </w:rPr>
        <w:t xml:space="preserve">zarządzania jakością – Podstawy                         </w:t>
      </w:r>
      <w:r w:rsidR="0067015B" w:rsidRPr="0067015B">
        <w:rPr>
          <w:rFonts w:cstheme="minorHAnsi"/>
          <w:color w:val="202122"/>
          <w:sz w:val="24"/>
          <w:szCs w:val="24"/>
        </w:rPr>
        <w:t>i terminologia;</w:t>
      </w:r>
    </w:p>
    <w:p w:rsidR="0067015B" w:rsidRDefault="00C87754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7" w:tooltip="ISO 9001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9001:2015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</w:t>
      </w:r>
      <w:r w:rsidR="0067015B">
        <w:rPr>
          <w:rFonts w:cstheme="minorHAnsi"/>
          <w:color w:val="202122"/>
          <w:sz w:val="24"/>
          <w:szCs w:val="24"/>
        </w:rPr>
        <w:t xml:space="preserve">ality management systems – </w:t>
      </w:r>
      <w:r w:rsidR="0067015B" w:rsidRPr="0067015B">
        <w:rPr>
          <w:rFonts w:cstheme="minorHAnsi"/>
          <w:color w:val="202122"/>
          <w:sz w:val="24"/>
          <w:szCs w:val="24"/>
        </w:rPr>
        <w:t>Requirements</w:t>
      </w:r>
      <w:r w:rsidR="0067015B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>
        <w:rPr>
          <w:rFonts w:cstheme="minorHAnsi"/>
          <w:color w:val="202122"/>
          <w:sz w:val="24"/>
          <w:szCs w:val="24"/>
        </w:rPr>
        <w:t xml:space="preserve">             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9001:2015-10</w:t>
      </w:r>
      <w:r w:rsidR="0067015B" w:rsidRPr="0067015B">
        <w:rPr>
          <w:rFonts w:cstheme="minorHAnsi"/>
          <w:color w:val="202122"/>
          <w:sz w:val="24"/>
          <w:szCs w:val="24"/>
        </w:rPr>
        <w:t> System zarządzania jakością – Wymagania</w:t>
      </w:r>
      <w:r w:rsidR="0067015B">
        <w:rPr>
          <w:rFonts w:cstheme="minorHAnsi"/>
          <w:color w:val="202122"/>
          <w:sz w:val="24"/>
          <w:szCs w:val="24"/>
        </w:rPr>
        <w:t>;</w:t>
      </w:r>
    </w:p>
    <w:p w:rsidR="0067015B" w:rsidRDefault="00C87754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8" w:tooltip="ISO 9004:2009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9004:2009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Quality management systems – Guidelines for performance improvements, polski odpowiednik: 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9004:2010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 Zarządzanie mające </w:t>
      </w:r>
      <w:r w:rsidR="0067015B">
        <w:rPr>
          <w:rFonts w:cstheme="minorHAnsi"/>
          <w:color w:val="202122"/>
          <w:sz w:val="24"/>
          <w:szCs w:val="24"/>
        </w:rPr>
        <w:t xml:space="preserve">                   </w:t>
      </w:r>
      <w:r w:rsidR="0067015B" w:rsidRPr="0067015B">
        <w:rPr>
          <w:rFonts w:cstheme="minorHAnsi"/>
          <w:color w:val="202122"/>
          <w:sz w:val="24"/>
          <w:szCs w:val="24"/>
        </w:rPr>
        <w:t>na celu osiągnięcie trwałego sukcesu organizacji – Podejście przez zarządzanie jakością</w:t>
      </w:r>
      <w:r w:rsidR="0067015B">
        <w:rPr>
          <w:rFonts w:cstheme="minorHAnsi"/>
          <w:color w:val="202122"/>
          <w:sz w:val="24"/>
          <w:szCs w:val="24"/>
        </w:rPr>
        <w:t>;</w:t>
      </w:r>
    </w:p>
    <w:p w:rsidR="0067015B" w:rsidRDefault="00C87754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9" w:tooltip="ISO 19011:2011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19011:2011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</w:t>
      </w:r>
      <w:proofErr w:type="spellStart"/>
      <w:r w:rsidR="0067015B" w:rsidRPr="0067015B">
        <w:rPr>
          <w:rFonts w:cstheme="minorHAnsi"/>
          <w:color w:val="202122"/>
          <w:sz w:val="24"/>
          <w:szCs w:val="24"/>
        </w:rPr>
        <w:t>Guidelines</w:t>
      </w:r>
      <w:proofErr w:type="spellEnd"/>
      <w:r w:rsidR="0067015B" w:rsidRPr="0067015B">
        <w:rPr>
          <w:rFonts w:cstheme="minorHAnsi"/>
          <w:color w:val="202122"/>
          <w:sz w:val="24"/>
          <w:szCs w:val="24"/>
        </w:rPr>
        <w:t xml:space="preserve"> for auditing management systems</w:t>
      </w:r>
      <w:r w:rsidR="00625EC7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>
        <w:rPr>
          <w:rFonts w:cstheme="minorHAnsi"/>
          <w:b/>
          <w:bCs/>
          <w:color w:val="202122"/>
          <w:sz w:val="24"/>
          <w:szCs w:val="24"/>
        </w:rPr>
        <w:t xml:space="preserve">PN-EN 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ISO 19011:2012 (U)</w:t>
      </w:r>
      <w:r w:rsidR="0067015B" w:rsidRPr="0067015B">
        <w:rPr>
          <w:rFonts w:cstheme="minorHAnsi"/>
          <w:color w:val="202122"/>
          <w:sz w:val="24"/>
          <w:szCs w:val="24"/>
        </w:rPr>
        <w:t> </w:t>
      </w:r>
      <w:r w:rsidR="0067015B">
        <w:rPr>
          <w:rFonts w:cstheme="minorHAnsi"/>
          <w:color w:val="202122"/>
          <w:sz w:val="24"/>
          <w:szCs w:val="24"/>
        </w:rPr>
        <w:t xml:space="preserve">Wytyczne dotyczące audytowania </w:t>
      </w:r>
      <w:r w:rsidR="0067015B" w:rsidRPr="0067015B">
        <w:rPr>
          <w:rFonts w:cstheme="minorHAnsi"/>
          <w:color w:val="202122"/>
          <w:sz w:val="24"/>
          <w:szCs w:val="24"/>
        </w:rPr>
        <w:t>systemów zarządzania – zastępuje wersję z 2003 roku.</w:t>
      </w:r>
    </w:p>
    <w:p w:rsidR="0067015B" w:rsidRPr="0067015B" w:rsidRDefault="0067015B" w:rsidP="001E4C2F">
      <w:p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r w:rsidRPr="0067015B">
        <w:rPr>
          <w:rFonts w:cstheme="minorHAnsi"/>
          <w:color w:val="202122"/>
          <w:sz w:val="24"/>
          <w:szCs w:val="24"/>
        </w:rPr>
        <w:t>Przy wdrażaniu systemu zarządzania jakością opartego</w:t>
      </w:r>
      <w:r w:rsidR="001E4C2F">
        <w:rPr>
          <w:rFonts w:cstheme="minorHAnsi"/>
          <w:color w:val="202122"/>
          <w:sz w:val="24"/>
          <w:szCs w:val="24"/>
        </w:rPr>
        <w:t xml:space="preserve"> na ISO 9001 warto posłużyć się </w:t>
      </w:r>
      <w:r w:rsidRPr="0067015B">
        <w:rPr>
          <w:rFonts w:cstheme="minorHAnsi"/>
          <w:color w:val="202122"/>
          <w:sz w:val="24"/>
          <w:szCs w:val="24"/>
        </w:rPr>
        <w:t>poradnikiem wydanym przez komitet ISO (Selection and use of the ISO family of standards) dostępnym do bezpłatnego pobrania na stronie ISO.</w:t>
      </w:r>
    </w:p>
    <w:p w:rsidR="00E103B0" w:rsidRPr="001E4C2F" w:rsidRDefault="00CA54BD" w:rsidP="002D2B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  <w:sz w:val="12"/>
          <w:szCs w:val="12"/>
        </w:rPr>
      </w:pPr>
      <w:r>
        <w:rPr>
          <w:rFonts w:asciiTheme="minorHAnsi" w:hAnsiTheme="minorHAnsi" w:cstheme="minorHAnsi"/>
          <w:b/>
          <w:bCs/>
          <w:color w:val="00B050"/>
        </w:rPr>
        <w:t xml:space="preserve"> </w:t>
      </w:r>
    </w:p>
    <w:p w:rsidR="00625EC7" w:rsidRDefault="00625EC7" w:rsidP="002D2B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0000"/>
          <w:sz w:val="24"/>
          <w:szCs w:val="24"/>
        </w:rPr>
        <w:t>ISO 9001:2008. Osiem filaró</w:t>
      </w:r>
      <w:r w:rsidRPr="00625EC7">
        <w:rPr>
          <w:rFonts w:eastAsia="ScalaSansPro-Bold" w:cstheme="minorHAnsi"/>
          <w:b/>
          <w:bCs/>
          <w:color w:val="000000"/>
          <w:sz w:val="24"/>
          <w:szCs w:val="24"/>
        </w:rPr>
        <w:t>w zarządzania jakością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Koncentracja na kliencie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Przywództwo.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Zaangażowanie pracowników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Podejście procesowe</w:t>
      </w:r>
      <w:r w:rsidRPr="002D2B5C">
        <w:rPr>
          <w:rFonts w:eastAsia="ScalaSansPro-Bold" w:cstheme="minorHAnsi"/>
          <w:color w:val="00B050"/>
          <w:sz w:val="24"/>
          <w:szCs w:val="24"/>
        </w:rPr>
        <w:t xml:space="preserve">. 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Podejście systemowe do zarządzania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E103B0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Ciągłe doskonalenie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2D2B5C" w:rsidRDefault="0056270C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Podejmowanie decyzji bazujące na faktach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2D2B5C" w:rsidRDefault="0056270C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Wzajemnie korzystne powiązania z dostawcami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56270C" w:rsidRDefault="0056270C" w:rsidP="002D2B5C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B050"/>
          <w:sz w:val="12"/>
          <w:szCs w:val="12"/>
        </w:rPr>
      </w:pPr>
    </w:p>
    <w:p w:rsidR="0056270C" w:rsidRDefault="0056270C" w:rsidP="002D2B5C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000000"/>
          <w:sz w:val="24"/>
          <w:szCs w:val="24"/>
        </w:rPr>
      </w:pPr>
      <w:r w:rsidRPr="0056270C">
        <w:rPr>
          <w:rFonts w:eastAsia="ScalaSansPro-Bold" w:cstheme="minorHAnsi"/>
          <w:b/>
          <w:bCs/>
          <w:color w:val="000000"/>
          <w:sz w:val="24"/>
          <w:szCs w:val="24"/>
        </w:rPr>
        <w:t>Korzyści ze stosowania ISO 9000</w:t>
      </w:r>
    </w:p>
    <w:p w:rsidR="0056270C" w:rsidRPr="0056270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56270C">
        <w:rPr>
          <w:rFonts w:eastAsia="ScalaSansPro-Bold" w:cstheme="minorHAnsi"/>
          <w:b/>
          <w:bCs/>
          <w:color w:val="00B050"/>
          <w:sz w:val="24"/>
          <w:szCs w:val="24"/>
        </w:rPr>
        <w:t>Uporządkowanie prowadzonej działalności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1D389C">
        <w:rPr>
          <w:rFonts w:eastAsia="ScalaSansPro-Bold" w:cstheme="minorHAnsi"/>
          <w:bCs/>
          <w:sz w:val="24"/>
          <w:szCs w:val="24"/>
        </w:rPr>
        <w:t>(</w:t>
      </w:r>
      <w:r w:rsidRPr="0056270C">
        <w:rPr>
          <w:rFonts w:eastAsia="ScalaSansPro-Bold" w:cstheme="minorHAnsi"/>
          <w:color w:val="000000"/>
          <w:sz w:val="24"/>
          <w:szCs w:val="24"/>
        </w:rPr>
        <w:t>elimin</w:t>
      </w:r>
      <w:r w:rsidR="002D2B5C">
        <w:rPr>
          <w:rFonts w:eastAsia="ScalaSansPro-Bold" w:cstheme="minorHAnsi"/>
          <w:color w:val="000000"/>
          <w:sz w:val="24"/>
          <w:szCs w:val="24"/>
        </w:rPr>
        <w:t xml:space="preserve">acja zbędnych i dublujących się </w:t>
      </w:r>
      <w:r w:rsidRPr="0056270C">
        <w:rPr>
          <w:rFonts w:eastAsia="ScalaSansPro-Bold" w:cstheme="minorHAnsi"/>
          <w:color w:val="000000"/>
          <w:sz w:val="24"/>
          <w:szCs w:val="24"/>
        </w:rPr>
        <w:t>działań</w:t>
      </w:r>
      <w:r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56270C">
        <w:rPr>
          <w:rFonts w:eastAsia="ScalaSansPro-Bold" w:cstheme="minorHAnsi"/>
          <w:color w:val="000000"/>
          <w:sz w:val="24"/>
          <w:szCs w:val="24"/>
        </w:rPr>
        <w:t>przewidywalność postępowania;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D2B5C">
        <w:rPr>
          <w:rFonts w:eastAsia="ScalaSansPro-Bold" w:cstheme="minorHAnsi"/>
          <w:color w:val="000000"/>
          <w:sz w:val="24"/>
          <w:szCs w:val="24"/>
        </w:rPr>
        <w:t xml:space="preserve">czytelne zakresy uprawnień                                         i </w:t>
      </w:r>
      <w:r w:rsidRPr="0056270C">
        <w:rPr>
          <w:rFonts w:eastAsia="ScalaSansPro-Bold" w:cstheme="minorHAnsi"/>
          <w:color w:val="000000"/>
          <w:sz w:val="24"/>
          <w:szCs w:val="24"/>
        </w:rPr>
        <w:t>odpowiedzialności;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270C">
        <w:rPr>
          <w:rFonts w:eastAsia="ScalaSansPro-Bold" w:cstheme="minorHAnsi"/>
          <w:color w:val="000000"/>
          <w:sz w:val="24"/>
          <w:szCs w:val="24"/>
        </w:rPr>
        <w:t>szybka adaptacja (przystosowanie) nowych pracowników;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270C">
        <w:rPr>
          <w:rFonts w:eastAsia="ScalaSansPro-Bold" w:cstheme="minorHAnsi"/>
          <w:color w:val="000000"/>
          <w:sz w:val="24"/>
          <w:szCs w:val="24"/>
        </w:rPr>
        <w:t>zaufanie kierownictwa do działania własnej organizacji</w:t>
      </w:r>
      <w:r w:rsidR="001D389C">
        <w:rPr>
          <w:rFonts w:eastAsia="ScalaSansPro-Bold" w:cstheme="minorHAnsi"/>
          <w:color w:val="000000"/>
          <w:sz w:val="24"/>
          <w:szCs w:val="24"/>
        </w:rPr>
        <w:t>)</w:t>
      </w:r>
      <w:r w:rsidRPr="0056270C">
        <w:rPr>
          <w:rFonts w:eastAsia="ScalaSansPro-Bold" w:cstheme="minorHAnsi"/>
          <w:color w:val="000000"/>
          <w:sz w:val="24"/>
          <w:szCs w:val="24"/>
        </w:rPr>
        <w:t>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Poprawa efektywności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1D389C" w:rsidRPr="001D389C">
        <w:rPr>
          <w:rFonts w:eastAsia="ScalaSansPro-Bold" w:cstheme="minorHAnsi"/>
          <w:bCs/>
          <w:sz w:val="24"/>
          <w:szCs w:val="24"/>
        </w:rPr>
        <w:t>(</w:t>
      </w:r>
      <w:r w:rsidRPr="001D389C">
        <w:rPr>
          <w:rFonts w:eastAsia="ScalaSansPro-Bold" w:cstheme="minorHAnsi"/>
          <w:color w:val="000000"/>
          <w:sz w:val="24"/>
          <w:szCs w:val="24"/>
        </w:rPr>
        <w:t>lepsze wykorzystanie zasobów;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poprawa wydajności;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poprawa jakości wyrobów/usług</w:t>
      </w:r>
      <w:r w:rsidR="001D389C">
        <w:rPr>
          <w:rFonts w:eastAsia="ScalaSansPro-Bold" w:cstheme="minorHAnsi"/>
          <w:color w:val="000000"/>
          <w:sz w:val="24"/>
          <w:szCs w:val="24"/>
        </w:rPr>
        <w:t>)</w:t>
      </w:r>
      <w:r w:rsidRPr="001D389C">
        <w:rPr>
          <w:rFonts w:eastAsia="ScalaSansPro-Bold" w:cstheme="minorHAnsi"/>
          <w:color w:val="000000"/>
          <w:sz w:val="24"/>
          <w:szCs w:val="24"/>
        </w:rPr>
        <w:t>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>Efekty promocyjne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1D389C">
        <w:rPr>
          <w:rFonts w:eastAsia="ScalaSansPro-Bold" w:cstheme="minorHAnsi"/>
          <w:bCs/>
          <w:sz w:val="24"/>
          <w:szCs w:val="24"/>
        </w:rPr>
        <w:t>(</w:t>
      </w:r>
      <w:r w:rsidRPr="001D389C">
        <w:rPr>
          <w:rFonts w:eastAsia="ScalaSansPro-Bold" w:cstheme="minorHAnsi"/>
          <w:color w:val="000000"/>
          <w:sz w:val="24"/>
          <w:szCs w:val="24"/>
        </w:rPr>
        <w:t>lepszy wizerunek organizacji;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zaufanie klientów i inwestorów;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zwiększenie konkurencyjności.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 xml:space="preserve">Podstawa do wdrożenia zasad </w:t>
      </w:r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 xml:space="preserve">Total </w:t>
      </w:r>
      <w:proofErr w:type="spellStart"/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>Quality</w:t>
      </w:r>
      <w:proofErr w:type="spellEnd"/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 xml:space="preserve"> Management </w:t>
      </w: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>(TQM)</w:t>
      </w:r>
      <w:r w:rsidR="002D2B5C">
        <w:rPr>
          <w:rFonts w:eastAsia="ScalaSansPro-Bold" w:cstheme="minorHAnsi"/>
          <w:b/>
          <w:bCs/>
          <w:sz w:val="24"/>
          <w:szCs w:val="24"/>
        </w:rPr>
        <w:t>.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2226D3" w:rsidRPr="002226D3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SansPro-BoldIt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5"/>
  </w:num>
  <w:num w:numId="5">
    <w:abstractNumId w:val="24"/>
  </w:num>
  <w:num w:numId="6">
    <w:abstractNumId w:val="14"/>
  </w:num>
  <w:num w:numId="7">
    <w:abstractNumId w:val="1"/>
  </w:num>
  <w:num w:numId="8">
    <w:abstractNumId w:val="23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0"/>
  </w:num>
  <w:num w:numId="14">
    <w:abstractNumId w:val="18"/>
  </w:num>
  <w:num w:numId="15">
    <w:abstractNumId w:val="21"/>
  </w:num>
  <w:num w:numId="16">
    <w:abstractNumId w:val="22"/>
  </w:num>
  <w:num w:numId="17">
    <w:abstractNumId w:val="7"/>
  </w:num>
  <w:num w:numId="18">
    <w:abstractNumId w:val="15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17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71A21"/>
    <w:rsid w:val="002A5243"/>
    <w:rsid w:val="002D2B5C"/>
    <w:rsid w:val="002F5C96"/>
    <w:rsid w:val="002F60C9"/>
    <w:rsid w:val="003D0119"/>
    <w:rsid w:val="003D6D50"/>
    <w:rsid w:val="0047137C"/>
    <w:rsid w:val="004B6E7C"/>
    <w:rsid w:val="005012C7"/>
    <w:rsid w:val="00531E4B"/>
    <w:rsid w:val="0053306A"/>
    <w:rsid w:val="0056270C"/>
    <w:rsid w:val="005974D7"/>
    <w:rsid w:val="005F0CF4"/>
    <w:rsid w:val="00623FEB"/>
    <w:rsid w:val="00625EC7"/>
    <w:rsid w:val="0067015B"/>
    <w:rsid w:val="006D2DFE"/>
    <w:rsid w:val="00716998"/>
    <w:rsid w:val="0074644C"/>
    <w:rsid w:val="00754DC6"/>
    <w:rsid w:val="00771B06"/>
    <w:rsid w:val="007A1EC4"/>
    <w:rsid w:val="008C221A"/>
    <w:rsid w:val="00A3011E"/>
    <w:rsid w:val="00AF085E"/>
    <w:rsid w:val="00B23F4E"/>
    <w:rsid w:val="00BA1F58"/>
    <w:rsid w:val="00BD67F8"/>
    <w:rsid w:val="00C63F5A"/>
    <w:rsid w:val="00C87754"/>
    <w:rsid w:val="00CA54BD"/>
    <w:rsid w:val="00CE78BF"/>
    <w:rsid w:val="00D67AC1"/>
    <w:rsid w:val="00D77E92"/>
    <w:rsid w:val="00D85CB2"/>
    <w:rsid w:val="00E0205F"/>
    <w:rsid w:val="00E103B0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ISO_9004:2009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ISO_9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ISO_9000:2005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ISO_19011:2011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45</cp:revision>
  <dcterms:created xsi:type="dcterms:W3CDTF">2021-02-04T08:42:00Z</dcterms:created>
  <dcterms:modified xsi:type="dcterms:W3CDTF">2021-03-15T14:10:00Z</dcterms:modified>
</cp:coreProperties>
</file>